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Child care practice</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4.4 The role of the key person and settling-in</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committed and the setting is a happy and dedicated place to attend or work in.</w:t>
      </w:r>
    </w:p>
    <w:p w:rsidR="00000000" w:rsidDel="00000000" w:rsidP="00000000" w:rsidRDefault="00000000" w:rsidRPr="00000000" w14:paraId="0000000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want children to feel safe, stimulated and happy in the setting and to feel secure and comfortable with staff. We also want parents to have confidence in both their children's well-being and their role as active partners with the setting.</w:t>
      </w:r>
    </w:p>
    <w:p w:rsidR="00000000" w:rsidDel="00000000" w:rsidP="00000000" w:rsidRDefault="00000000" w:rsidRPr="00000000" w14:paraId="0000000B">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aim to make the setting a welcoming place where children settle quickly and easily because consideration has been given to the individual needs and circumstances of children and their families.</w:t>
      </w:r>
    </w:p>
    <w:p w:rsidR="00000000" w:rsidDel="00000000" w:rsidP="00000000" w:rsidRDefault="00000000" w:rsidRPr="00000000" w14:paraId="0000000D">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key person role is set out in the Welfare Requirements of the Early Years Foundation Stage. Each setting must offer a key person for each child.</w:t>
      </w:r>
    </w:p>
    <w:p w:rsidR="00000000" w:rsidDel="00000000" w:rsidP="00000000" w:rsidRDefault="00000000" w:rsidRPr="00000000" w14:paraId="0000000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procedures set out a model for developing a key person approach that promotes effective and positive relationships for children who are in settings.</w:t>
      </w:r>
    </w:p>
    <w:p w:rsidR="00000000" w:rsidDel="00000000" w:rsidP="00000000" w:rsidRDefault="00000000" w:rsidRPr="00000000" w14:paraId="00000011">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allocate a key person before the child starts.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offer ‘settling in’ sessions before the child starts at the Pre-school. These are short 1-2 hour visits to introduce the child to the Pre-school and meet the key person. Parents can attend these sessions along with their child to help build the relationship between parent, child and Pre-school.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is responsible for the induction of the family and for settling the child into our setting.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offers unconditional regard for the child and is non-judgemental.</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works with the parent to plan and deliver a personalised plan for the child’s well-being, care and leaning.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acts as the key contact for the parents and has links with other carers involved with the child, such as a childminder, and co-ordinates the sharing of appropriate information about the child’s development with those carers.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key person is responsible for developmental records and for sharing information on a regular basis with the child’s parents to keep those records up-to-date, reflecting the full picture of the child in our setting and at home.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encourages positive relationships between children in her/his key group, spending time with them as a group each day.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a back-up key person (buddy system) so the child and the parents have a key contact in the absence of the child’s key person.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promote the role of the key person as the child’s primary carer in our setting, and as the basis for establishing relationships with other staff and children.</w:t>
      </w:r>
    </w:p>
    <w:p w:rsidR="00000000" w:rsidDel="00000000" w:rsidP="00000000" w:rsidRDefault="00000000" w:rsidRPr="00000000" w14:paraId="0000001E">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Settling-in</w:t>
      </w:r>
      <w:r w:rsidDel="00000000" w:rsidR="00000000" w:rsidRPr="00000000">
        <w:rPr>
          <w:rtl w:val="0"/>
        </w:rPr>
      </w:r>
    </w:p>
    <w:p w:rsidR="00000000" w:rsidDel="00000000" w:rsidP="00000000" w:rsidRDefault="00000000" w:rsidRPr="00000000" w14:paraId="00000020">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Before a child starts to attend the setting, we use a variety of ways to provide his/her parents with information. These include written information (including our prospectus and policies), displays about activities available within the setting, parents evenings and individual meetings with parents.</w:t>
      </w:r>
    </w:p>
    <w:p w:rsidR="00000000" w:rsidDel="00000000" w:rsidP="00000000" w:rsidRDefault="00000000" w:rsidRPr="00000000" w14:paraId="00000021">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During the half-term before a child is enrolled, we provide opportunities for the child and his/her parents to visit the setting.</w:t>
      </w:r>
    </w:p>
    <w:p w:rsidR="00000000" w:rsidDel="00000000" w:rsidP="00000000" w:rsidRDefault="00000000" w:rsidRPr="00000000" w14:paraId="00000022">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allocate a key person to each child and his/her family before she/he starts to attend; the key person welcomes and looks after the child and his/her parents at the child's first session and during the settling-in process.</w:t>
      </w:r>
    </w:p>
    <w:p w:rsidR="00000000" w:rsidDel="00000000" w:rsidP="00000000" w:rsidRDefault="00000000" w:rsidRPr="00000000" w14:paraId="00000023">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use pre-start visits and the first session at which a child attends to explain and complete with his/her parents the child's registration records.</w:t>
      </w:r>
    </w:p>
    <w:p w:rsidR="00000000" w:rsidDel="00000000" w:rsidP="00000000" w:rsidRDefault="00000000" w:rsidRPr="00000000" w14:paraId="00000024">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When a child starts to attend, we explain the process of settling-in with his/her parents and jointly decide on the best way to help the child to settle into the setting.</w:t>
      </w:r>
    </w:p>
    <w:p w:rsidR="00000000" w:rsidDel="00000000" w:rsidP="00000000" w:rsidRDefault="00000000" w:rsidRPr="00000000" w14:paraId="00000025">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Younger children will take longer to settle in, as will children who have not previously spent time away from home. Children who have had a period of absence may also need their parent to be on hand to re-settle them.</w:t>
      </w:r>
    </w:p>
    <w:p w:rsidR="00000000" w:rsidDel="00000000" w:rsidP="00000000" w:rsidRDefault="00000000" w:rsidRPr="00000000" w14:paraId="00000026">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judge a child to be settled when they have formed a relationship with their key person; for example the child looks for the key person when he/she arrives, goes to them for comfort, and seems pleased to be with them. The child is also familiar with where things are and is pleased to see other children and participate in activities.</w:t>
      </w:r>
    </w:p>
    <w:p w:rsidR="00000000" w:rsidDel="00000000" w:rsidP="00000000" w:rsidRDefault="00000000" w:rsidRPr="00000000" w14:paraId="00000027">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When parents leave, we ask them to say goodbye to their child and explain that they will be coming back, and when.</w:t>
      </w:r>
    </w:p>
    <w:p w:rsidR="00000000" w:rsidDel="00000000" w:rsidP="00000000" w:rsidRDefault="00000000" w:rsidRPr="00000000" w14:paraId="00000028">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recognise that some children will settle more readily than others but that some children who appear to settle rapidly are not ready to be left. </w:t>
      </w:r>
    </w:p>
    <w:p w:rsidR="00000000" w:rsidDel="00000000" w:rsidP="00000000" w:rsidRDefault="00000000" w:rsidRPr="00000000" w14:paraId="00000029">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do not believe that leaving a child to cry will help them to settle any quicker. We believe that a child's distress will prevent them from learning and gaining the best from the setting.</w:t>
      </w:r>
    </w:p>
    <w:p w:rsidR="00000000" w:rsidDel="00000000" w:rsidP="00000000" w:rsidRDefault="00000000" w:rsidRPr="00000000" w14:paraId="0000002A">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reserve the right not to accept a child into the setting without a parent or carer if the child finds it distressing to be left. This is especially the case with very young children.</w:t>
      </w:r>
    </w:p>
    <w:p w:rsidR="00000000" w:rsidDel="00000000" w:rsidP="00000000" w:rsidRDefault="00000000" w:rsidRPr="00000000" w14:paraId="0000002B">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Within the first four to six weeks of starting we discuss and work with the child's parents to start to create their child's record of achievement.</w:t>
      </w:r>
    </w:p>
    <w:p w:rsidR="00000000" w:rsidDel="00000000" w:rsidP="00000000" w:rsidRDefault="00000000" w:rsidRPr="00000000" w14:paraId="0000002C">
      <w:pPr>
        <w:spacing w:line="360" w:lineRule="auto"/>
        <w:rPr>
          <w:rFonts w:ascii="Arial" w:cs="Arial" w:eastAsia="Arial" w:hAnsi="Arial"/>
          <w:sz w:val="22"/>
          <w:szCs w:val="22"/>
          <w:vertAlign w:val="baseline"/>
        </w:rPr>
      </w:pPr>
      <w:r w:rsidDel="00000000" w:rsidR="00000000" w:rsidRPr="00000000">
        <w:rPr>
          <w:rtl w:val="0"/>
        </w:rPr>
      </w:r>
    </w:p>
    <w:tbl>
      <w:tblPr>
        <w:tblStyle w:val="Table1"/>
        <w:tblW w:w="9819.0" w:type="dxa"/>
        <w:jc w:val="left"/>
        <w:tblInd w:w="-108.0" w:type="dxa"/>
        <w:tblLayout w:type="fixed"/>
        <w:tblLook w:val="0000"/>
      </w:tblPr>
      <w:tblGrid>
        <w:gridCol w:w="4519"/>
        <w:gridCol w:w="3421"/>
        <w:gridCol w:w="1879"/>
        <w:tblGridChange w:id="0">
          <w:tblGrid>
            <w:gridCol w:w="4519"/>
            <w:gridCol w:w="3421"/>
            <w:gridCol w:w="1879"/>
          </w:tblGrid>
        </w:tblGridChange>
      </w:tblGrid>
      <w:tr>
        <w:trPr>
          <w:cantSplit w:val="0"/>
          <w:tblHeader w:val="0"/>
        </w:trPr>
        <w:tc>
          <w:tcPr>
            <w:vAlign w:val="top"/>
          </w:tcPr>
          <w:p w:rsidR="00000000" w:rsidDel="00000000" w:rsidP="00000000" w:rsidRDefault="00000000" w:rsidRPr="00000000" w14:paraId="0000002D">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This policy was adopted at a meeting of</w:t>
            </w:r>
            <w:r w:rsidDel="00000000" w:rsidR="00000000" w:rsidRPr="00000000">
              <w:rPr>
                <w:rtl w:val="0"/>
              </w:rPr>
            </w:r>
          </w:p>
        </w:tc>
        <w:tc>
          <w:tcPr>
            <w:tcBorders>
              <w:bottom w:color="8064a2" w:space="0" w:sz="4" w:val="single"/>
            </w:tcBorders>
            <w:vAlign w:val="top"/>
          </w:tcPr>
          <w:p w:rsidR="00000000" w:rsidDel="00000000" w:rsidP="00000000" w:rsidRDefault="00000000" w:rsidRPr="00000000" w14:paraId="0000002E">
            <w:pPr>
              <w:spacing w:line="360" w:lineRule="auto"/>
              <w:rPr>
                <w:rFonts w:ascii="Arial" w:cs="Arial" w:eastAsia="Arial" w:hAnsi="Arial"/>
                <w:vertAlign w:val="baseline"/>
              </w:rPr>
            </w:pPr>
            <w:r w:rsidDel="00000000" w:rsidR="00000000" w:rsidRPr="00000000">
              <w:rPr>
                <w:rFonts w:ascii="Arial" w:cs="Arial" w:eastAsia="Arial" w:hAnsi="Arial"/>
                <w:rtl w:val="0"/>
              </w:rPr>
              <w:t xml:space="preserve">Tiny steps preschool</w:t>
            </w:r>
            <w:r w:rsidDel="00000000" w:rsidR="00000000" w:rsidRPr="00000000">
              <w:rPr>
                <w:rtl w:val="0"/>
              </w:rPr>
            </w:r>
          </w:p>
        </w:tc>
        <w:tc>
          <w:tcPr>
            <w:vAlign w:val="top"/>
          </w:tcPr>
          <w:p w:rsidR="00000000" w:rsidDel="00000000" w:rsidP="00000000" w:rsidRDefault="00000000" w:rsidRPr="00000000" w14:paraId="0000002F">
            <w:pPr>
              <w:spacing w:line="3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Held on</w:t>
            </w:r>
            <w:r w:rsidDel="00000000" w:rsidR="00000000" w:rsidRPr="00000000">
              <w:rPr>
                <w:rtl w:val="0"/>
              </w:rPr>
            </w:r>
          </w:p>
        </w:tc>
        <w:tc>
          <w:tcPr>
            <w:tcBorders>
              <w:top w:color="8064a2" w:space="0" w:sz="4" w:val="single"/>
              <w:bottom w:color="8064a2" w:space="0" w:sz="4" w:val="single"/>
            </w:tcBorders>
            <w:vAlign w:val="top"/>
          </w:tcPr>
          <w:p w:rsidR="00000000" w:rsidDel="00000000" w:rsidP="00000000" w:rsidRDefault="00000000" w:rsidRPr="00000000" w14:paraId="00000031">
            <w:pPr>
              <w:spacing w:line="360" w:lineRule="auto"/>
              <w:rPr>
                <w:rFonts w:ascii="Arial" w:cs="Arial" w:eastAsia="Arial" w:hAnsi="Arial"/>
                <w:vertAlign w:val="baseline"/>
              </w:rPr>
            </w:pPr>
            <w:r w:rsidDel="00000000" w:rsidR="00000000" w:rsidRPr="00000000">
              <w:rPr>
                <w:rFonts w:ascii="Arial" w:cs="Arial" w:eastAsia="Arial" w:hAnsi="Arial"/>
                <w:rtl w:val="0"/>
              </w:rPr>
              <w:t xml:space="preserve">September</w:t>
            </w:r>
            <w:r w:rsidDel="00000000" w:rsidR="00000000" w:rsidRPr="00000000">
              <w:rPr>
                <w:rFonts w:ascii="Arial" w:cs="Arial" w:eastAsia="Arial" w:hAnsi="Arial"/>
                <w:vertAlign w:val="baseline"/>
                <w:rtl w:val="0"/>
              </w:rPr>
              <w:t xml:space="preserve"> 2021</w:t>
            </w:r>
          </w:p>
        </w:tc>
        <w:tc>
          <w:tcPr>
            <w:vAlign w:val="top"/>
          </w:tcPr>
          <w:p w:rsidR="00000000" w:rsidDel="00000000" w:rsidP="00000000" w:rsidRDefault="00000000" w:rsidRPr="00000000" w14:paraId="00000032">
            <w:pPr>
              <w:spacing w:line="3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Date to be reviewed</w:t>
            </w:r>
            <w:r w:rsidDel="00000000" w:rsidR="00000000" w:rsidRPr="00000000">
              <w:rPr>
                <w:rtl w:val="0"/>
              </w:rPr>
            </w:r>
          </w:p>
        </w:tc>
        <w:tc>
          <w:tcPr>
            <w:tcBorders>
              <w:top w:color="8064a2" w:space="0" w:sz="4" w:val="single"/>
              <w:bottom w:color="8064a2" w:space="0" w:sz="4" w:val="single"/>
            </w:tcBorders>
            <w:vAlign w:val="top"/>
          </w:tcPr>
          <w:p w:rsidR="00000000" w:rsidDel="00000000" w:rsidP="00000000" w:rsidRDefault="00000000" w:rsidRPr="00000000" w14:paraId="00000034">
            <w:pPr>
              <w:spacing w:line="360" w:lineRule="auto"/>
              <w:rPr>
                <w:rFonts w:ascii="Arial" w:cs="Arial" w:eastAsia="Arial" w:hAnsi="Arial"/>
                <w:vertAlign w:val="baseline"/>
              </w:rPr>
            </w:pPr>
            <w:r w:rsidDel="00000000" w:rsidR="00000000" w:rsidRPr="00000000">
              <w:rPr>
                <w:rFonts w:ascii="Arial" w:cs="Arial" w:eastAsia="Arial" w:hAnsi="Arial"/>
                <w:rtl w:val="0"/>
              </w:rPr>
              <w:t xml:space="preserve">September</w:t>
            </w:r>
            <w:r w:rsidDel="00000000" w:rsidR="00000000" w:rsidRPr="00000000">
              <w:rPr>
                <w:rFonts w:ascii="Arial" w:cs="Arial" w:eastAsia="Arial" w:hAnsi="Arial"/>
                <w:vertAlign w:val="baseline"/>
                <w:rtl w:val="0"/>
              </w:rPr>
              <w:t xml:space="preserve"> 2022</w:t>
            </w:r>
          </w:p>
        </w:tc>
        <w:tc>
          <w:tcPr>
            <w:vAlign w:val="top"/>
          </w:tcPr>
          <w:p w:rsidR="00000000" w:rsidDel="00000000" w:rsidP="00000000" w:rsidRDefault="00000000" w:rsidRPr="00000000" w14:paraId="00000035">
            <w:pPr>
              <w:spacing w:line="3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Signed on behalf of the </w:t>
            </w:r>
            <w:r w:rsidDel="00000000" w:rsidR="00000000" w:rsidRPr="00000000">
              <w:rPr>
                <w:rFonts w:ascii="Arial" w:cs="Arial" w:eastAsia="Arial" w:hAnsi="Arial"/>
                <w:sz w:val="22"/>
                <w:szCs w:val="22"/>
                <w:rtl w:val="0"/>
              </w:rPr>
              <w:t xml:space="preserve">management</w:t>
            </w:r>
            <w:r w:rsidDel="00000000" w:rsidR="00000000" w:rsidRPr="00000000">
              <w:rPr>
                <w:rtl w:val="0"/>
              </w:rPr>
            </w:r>
          </w:p>
        </w:tc>
        <w:tc>
          <w:tcPr>
            <w:gridSpan w:val="2"/>
            <w:tcBorders>
              <w:bottom w:color="8064a2" w:space="0" w:sz="4" w:val="single"/>
            </w:tcBorders>
            <w:vAlign w:val="top"/>
          </w:tcPr>
          <w:p w:rsidR="00000000" w:rsidDel="00000000" w:rsidP="00000000" w:rsidRDefault="00000000" w:rsidRPr="00000000" w14:paraId="00000037">
            <w:pPr>
              <w:spacing w:line="360" w:lineRule="auto"/>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9">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Name of signatory</w:t>
            </w:r>
            <w:r w:rsidDel="00000000" w:rsidR="00000000" w:rsidRPr="00000000">
              <w:rPr>
                <w:rtl w:val="0"/>
              </w:rPr>
            </w:r>
          </w:p>
        </w:tc>
        <w:tc>
          <w:tcPr>
            <w:gridSpan w:val="2"/>
            <w:tcBorders>
              <w:top w:color="8064a2" w:space="0" w:sz="4" w:val="single"/>
              <w:left w:color="000000" w:space="0" w:sz="0" w:val="nil"/>
              <w:bottom w:color="8064a2" w:space="0" w:sz="4" w:val="single"/>
              <w:right w:color="000000" w:space="0" w:sz="0" w:val="nil"/>
            </w:tcBorders>
            <w:vAlign w:val="top"/>
          </w:tcPr>
          <w:p w:rsidR="00000000" w:rsidDel="00000000" w:rsidP="00000000" w:rsidRDefault="00000000" w:rsidRPr="00000000" w14:paraId="0000003A">
            <w:pPr>
              <w:spacing w:line="360" w:lineRule="auto"/>
              <w:rPr>
                <w:rFonts w:ascii="Arial" w:cs="Arial" w:eastAsia="Arial" w:hAnsi="Arial"/>
                <w:vertAlign w:val="baseline"/>
              </w:rPr>
            </w:pPr>
            <w:r w:rsidDel="00000000" w:rsidR="00000000" w:rsidRPr="00000000">
              <w:rPr>
                <w:rFonts w:ascii="Arial" w:cs="Arial" w:eastAsia="Arial" w:hAnsi="Arial"/>
                <w:rtl w:val="0"/>
              </w:rPr>
              <w:t xml:space="preserve">Connie Bryson</w:t>
            </w:r>
            <w:r w:rsidDel="00000000" w:rsidR="00000000" w:rsidRPr="00000000">
              <w:rPr>
                <w:rFonts w:ascii="Arial" w:cs="Arial" w:eastAsia="Arial" w:hAnsi="Arial"/>
                <w:vertAlign w:val="baseline"/>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C">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Role of signatory (e.g. chair/owner)</w:t>
            </w:r>
            <w:r w:rsidDel="00000000" w:rsidR="00000000" w:rsidRPr="00000000">
              <w:rPr>
                <w:rtl w:val="0"/>
              </w:rPr>
            </w:r>
          </w:p>
        </w:tc>
        <w:tc>
          <w:tcPr>
            <w:gridSpan w:val="2"/>
            <w:tcBorders>
              <w:top w:color="8064a2" w:space="0" w:sz="4" w:val="single"/>
              <w:left w:color="000000" w:space="0" w:sz="0" w:val="nil"/>
              <w:bottom w:color="8064a2" w:space="0" w:sz="4" w:val="single"/>
              <w:right w:color="000000" w:space="0" w:sz="0" w:val="nil"/>
            </w:tcBorders>
            <w:vAlign w:val="top"/>
          </w:tcPr>
          <w:p w:rsidR="00000000" w:rsidDel="00000000" w:rsidP="00000000" w:rsidRDefault="00000000" w:rsidRPr="00000000" w14:paraId="0000003D">
            <w:pPr>
              <w:spacing w:line="360" w:lineRule="auto"/>
              <w:rPr>
                <w:rFonts w:ascii="Arial" w:cs="Arial" w:eastAsia="Arial" w:hAnsi="Arial"/>
                <w:vertAlign w:val="baseline"/>
              </w:rPr>
            </w:pPr>
            <w:r w:rsidDel="00000000" w:rsidR="00000000" w:rsidRPr="00000000">
              <w:rPr>
                <w:rFonts w:ascii="Arial" w:cs="Arial" w:eastAsia="Arial" w:hAnsi="Arial"/>
                <w:rtl w:val="0"/>
              </w:rPr>
              <w:t xml:space="preserve">Owner/manager</w:t>
            </w:r>
            <w:r w:rsidDel="00000000" w:rsidR="00000000" w:rsidRPr="00000000">
              <w:rPr>
                <w:rtl w:val="0"/>
              </w:rPr>
            </w:r>
          </w:p>
        </w:tc>
      </w:tr>
    </w:tbl>
    <w:p w:rsidR="00000000" w:rsidDel="00000000" w:rsidP="00000000" w:rsidRDefault="00000000" w:rsidRPr="00000000" w14:paraId="0000003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0">
      <w:pPr>
        <w:spacing w:line="360" w:lineRule="auto"/>
        <w:ind w:left="360" w:firstLine="0"/>
        <w:rPr>
          <w:rFonts w:ascii="Arial" w:cs="Arial" w:eastAsia="Arial" w:hAnsi="Arial"/>
          <w:sz w:val="22"/>
          <w:szCs w:val="22"/>
          <w:vertAlign w:val="baseline"/>
        </w:rPr>
      </w:pPr>
      <w:r w:rsidDel="00000000" w:rsidR="00000000" w:rsidRPr="00000000">
        <w:rPr>
          <w:rtl w:val="0"/>
        </w:rPr>
      </w:r>
    </w:p>
    <w:sectPr>
      <w:headerReference r:id="rId6"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color="8064a2" w:space="1" w:sz="4" w:val="single"/>
        <w:left w:color="8064a2" w:space="4" w:sz="4" w:val="single"/>
        <w:bottom w:color="8064a2" w:space="1" w:sz="4" w:val="single"/>
        <w:right w:color="8064a2" w:space="4" w:sz="4" w:val="single"/>
      </w:pBdr>
      <w:spacing w:after="120" w:before="120" w:lineRule="auto"/>
      <w:rPr>
        <w:rFonts w:ascii="Arial" w:cs="Arial" w:eastAsia="Arial" w:hAnsi="Arial"/>
        <w:b w:val="0"/>
        <w:color w:val="8064a2"/>
        <w:sz w:val="22"/>
        <w:szCs w:val="22"/>
        <w:vertAlign w:val="baseline"/>
      </w:rPr>
    </w:pPr>
    <w:r w:rsidDel="00000000" w:rsidR="00000000" w:rsidRPr="00000000">
      <w:rPr>
        <w:rFonts w:ascii="Arial" w:cs="Arial" w:eastAsia="Arial" w:hAnsi="Arial"/>
        <w:b w:val="1"/>
        <w:color w:val="8064a2"/>
        <w:sz w:val="22"/>
        <w:szCs w:val="22"/>
        <w:vertAlign w:val="baseline"/>
        <w:rtl w:val="0"/>
      </w:rPr>
      <w:t xml:space="preserve">General Welfare Requirement: Organisation</w:t>
    </w:r>
    <w:r w:rsidDel="00000000" w:rsidR="00000000" w:rsidRPr="00000000">
      <w:rPr>
        <w:rtl w:val="0"/>
      </w:rPr>
    </w:r>
  </w:p>
  <w:p w:rsidR="00000000" w:rsidDel="00000000" w:rsidP="00000000" w:rsidRDefault="00000000" w:rsidRPr="00000000" w14:paraId="00000042">
    <w:pPr>
      <w:pBdr>
        <w:top w:color="8064a2" w:space="1" w:sz="4" w:val="single"/>
        <w:left w:color="8064a2" w:space="4" w:sz="4" w:val="single"/>
        <w:bottom w:color="8064a2" w:space="1" w:sz="4" w:val="single"/>
        <w:right w:color="8064a2" w:space="4" w:sz="4" w:val="single"/>
      </w:pBdr>
      <w:spacing w:after="120" w:before="120" w:lineRule="auto"/>
      <w:rPr>
        <w:rFonts w:ascii="Arial" w:cs="Arial" w:eastAsia="Arial" w:hAnsi="Arial"/>
        <w:color w:val="8064a2"/>
        <w:sz w:val="22"/>
        <w:szCs w:val="22"/>
        <w:vertAlign w:val="baseline"/>
      </w:rPr>
    </w:pPr>
    <w:r w:rsidDel="00000000" w:rsidR="00000000" w:rsidRPr="00000000">
      <w:rPr>
        <w:rFonts w:ascii="Arial" w:cs="Arial" w:eastAsia="Arial" w:hAnsi="Arial"/>
        <w:color w:val="8064a2"/>
        <w:sz w:val="22"/>
        <w:szCs w:val="22"/>
        <w:vertAlign w:val="baseline"/>
        <w:rtl w:val="0"/>
      </w:rPr>
      <w:t xml:space="preserve">Providers must plan and organise their systems to ensure that every child receives an enjoyable and challenging learning and development experience that is tailored to meet their individual needs.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